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7A2" w:rsidRDefault="00FF17A2" w:rsidP="00FF17A2">
      <w:pPr>
        <w:rPr>
          <w:rFonts w:eastAsia="Times New Roman"/>
        </w:rPr>
      </w:pPr>
      <w:r>
        <w:rPr>
          <w:rFonts w:eastAsia="Times New Roman"/>
        </w:rPr>
        <w:t>Treść Wniosku </w:t>
      </w:r>
    </w:p>
    <w:p w:rsidR="00FF17A2" w:rsidRDefault="00FF17A2" w:rsidP="00FF17A2">
      <w:pPr>
        <w:rPr>
          <w:rFonts w:eastAsia="Times New Roman"/>
        </w:rPr>
      </w:pPr>
      <w:r>
        <w:rPr>
          <w:rFonts w:eastAsia="Times New Roman"/>
        </w:rPr>
        <w:t>Na mocy art. 61 Konstytucji RP w związku z art. 6 ust. 1 pkt. lit. c Ustawy z dnia 6 września 2001 r. o dostępie do informacji publicznej  (Dz.U.2015.2058 z dnia 2015.12.07) - wnosimy o udzielenie informacji publicznej w przedmiocie określonym w poniższych punktach. </w:t>
      </w:r>
    </w:p>
    <w:p w:rsidR="00FF17A2" w:rsidRDefault="00FF17A2" w:rsidP="00FF17A2">
      <w:pPr>
        <w:rPr>
          <w:rFonts w:eastAsia="Times New Roman"/>
        </w:rPr>
      </w:pPr>
    </w:p>
    <w:p w:rsidR="00FF17A2" w:rsidRDefault="00FF17A2" w:rsidP="00FF17A2">
      <w:pPr>
        <w:rPr>
          <w:rFonts w:eastAsia="Times New Roman"/>
        </w:rPr>
      </w:pPr>
      <w:r>
        <w:rPr>
          <w:rFonts w:eastAsia="Times New Roman"/>
        </w:rPr>
        <w:t>Ponownie zaznaczmy, że jeśli Gmina nie jest w posiadaniu poniżej wnioskowanych informacji publicznych - wnosimy o przekazanie naszego wniosku - ex officio do Jednostki Organizacyjnej - nadzorowanej przez Gminę, która w zakresie powierzonych jej kompetencji i zadań - jest w posiadaniu wnioskowanych przez nas informacji.  Wzmiankowane przekazanie do Zakładku Komunalnego / Spółki Komunalnej / Oczyszczalni Ścieków lub innej jednostki organizacyjnej - może nastąpić na podstawie art. 65 Ustawy z dnia 14 czerwca 1960 r. Kodeks postępowania administracyjnego ( t.j. Dz. U. z 2020 r. poz. 256, 695)  - lub innej podstawy - lege artis - zastosowanej przez Urząd.               </w:t>
      </w:r>
    </w:p>
    <w:p w:rsidR="00FF17A2" w:rsidRDefault="00FF17A2" w:rsidP="00FF17A2">
      <w:pPr>
        <w:rPr>
          <w:rFonts w:eastAsia="Times New Roman"/>
        </w:rPr>
      </w:pPr>
    </w:p>
    <w:p w:rsidR="00FF17A2" w:rsidRDefault="00FF17A2" w:rsidP="00FF17A2">
      <w:pPr>
        <w:rPr>
          <w:rFonts w:eastAsia="Times New Roman"/>
        </w:rPr>
      </w:pPr>
      <w:r>
        <w:rPr>
          <w:rFonts w:eastAsia="Times New Roman"/>
          <w:b/>
          <w:bCs/>
        </w:rPr>
        <w:t>§1) Jaką kwotę w ciągu ostatnich 5 miesięcy wydatkowała gmina na zakup środków do dezynfekcji rąk - tzw. metodą wcierania?  Wnioskodawca ma na myśli w tym przypadku wszystkie - chemiczne środki dezynfekcyjne i antyseptyczne - stosowane przez Urząd do higienicznej dezynfekcji rąk metodą wcierania.</w:t>
      </w:r>
    </w:p>
    <w:p w:rsidR="00FF17A2" w:rsidRDefault="00FF17A2" w:rsidP="00FF17A2">
      <w:pPr>
        <w:rPr>
          <w:rFonts w:eastAsia="Times New Roman"/>
        </w:rPr>
      </w:pPr>
    </w:p>
    <w:p w:rsidR="00FF17A2" w:rsidRDefault="00FF17A2" w:rsidP="00FF17A2">
      <w:pPr>
        <w:rPr>
          <w:rFonts w:eastAsia="Times New Roman"/>
        </w:rPr>
      </w:pPr>
      <w:r>
        <w:rPr>
          <w:rFonts w:eastAsia="Times New Roman"/>
          <w:b/>
          <w:bCs/>
        </w:rPr>
        <w:t>§2)  W trybie wyżej podanych podstaw prawnych wnosimy o udzielnie informacji publicznej kto jest ostatecznym użytkownikiem, płynów do dezynfekcji zakupywanych przez Urząd Gminy? Wnioskodawca ma na myśli w tym przypadku inter alia: Urzędników, Interesantów, Uczniów w szkołach (czasami szkoły realizują tego typu zakupy samoistnie z pominięciem Urzedu Gminy), Osoby odwiedzające jednostki kultury, Pensjonariusze gminnych domów pomocy społecznej, Innych odbiorców  - jakich? etc </w:t>
      </w:r>
    </w:p>
    <w:p w:rsidR="00FF17A2" w:rsidRDefault="00FF17A2" w:rsidP="00FF17A2">
      <w:pPr>
        <w:rPr>
          <w:rFonts w:eastAsia="Times New Roman"/>
        </w:rPr>
      </w:pPr>
    </w:p>
    <w:p w:rsidR="00FF17A2" w:rsidRDefault="00FF17A2" w:rsidP="00FF17A2">
      <w:pPr>
        <w:rPr>
          <w:rFonts w:eastAsia="Times New Roman"/>
        </w:rPr>
      </w:pPr>
      <w:r>
        <w:rPr>
          <w:rFonts w:eastAsia="Times New Roman"/>
          <w:b/>
          <w:bCs/>
        </w:rPr>
        <w:t>§3) Czy wszystkie zakupywane środki dezynfekcyjne spełniają normy PN-EN 1500:2013 ? </w:t>
      </w:r>
    </w:p>
    <w:p w:rsidR="00FF17A2" w:rsidRDefault="00FF17A2" w:rsidP="00FF17A2">
      <w:pPr>
        <w:rPr>
          <w:rFonts w:eastAsia="Times New Roman"/>
        </w:rPr>
      </w:pPr>
    </w:p>
    <w:p w:rsidR="00FF17A2" w:rsidRDefault="00FF17A2" w:rsidP="00FF17A2">
      <w:pPr>
        <w:rPr>
          <w:rFonts w:eastAsia="Times New Roman"/>
        </w:rPr>
      </w:pPr>
      <w:r>
        <w:rPr>
          <w:rFonts w:eastAsia="Times New Roman"/>
          <w:b/>
          <w:bCs/>
        </w:rPr>
        <w:t>§4) Czy urząd dba o komfort Osób/Dzieci dezynfekujących permanentnie dłonie wymagając aby w płynach do dezynfekcji znajdowały się odpowiedniej jakości środki nawilżające ? </w:t>
      </w:r>
    </w:p>
    <w:p w:rsidR="00FF17A2" w:rsidRDefault="00FF17A2" w:rsidP="00FF17A2">
      <w:pPr>
        <w:rPr>
          <w:rFonts w:eastAsia="Times New Roman"/>
        </w:rPr>
      </w:pPr>
    </w:p>
    <w:p w:rsidR="00FF17A2" w:rsidRDefault="00FF17A2" w:rsidP="00FF17A2">
      <w:pPr>
        <w:rPr>
          <w:rFonts w:eastAsia="Times New Roman"/>
        </w:rPr>
      </w:pPr>
      <w:r>
        <w:rPr>
          <w:rFonts w:eastAsia="Times New Roman"/>
          <w:b/>
          <w:bCs/>
        </w:rPr>
        <w:t>§5) W kontekście wyżej powołanego pytania - jeżeli odbiorcami płynów dezynfekcyjnych są rownież uczniowie szkół lub dzieci w przedszkolu nadzorowanym przez Gminę - czy Zamawiający (Gmina) stosuje jakieś inne dodatkowe kryteria doboru płynów dezynfekujących - tak aby zapobiegać niepożądanym skutkom permanentnego stosowania środków do dezynfekcji rąk  u odbiorców szczególnie wrażliwych ? </w:t>
      </w:r>
    </w:p>
    <w:p w:rsidR="00FF17A2" w:rsidRDefault="00FF17A2" w:rsidP="00FF17A2">
      <w:pPr>
        <w:rPr>
          <w:rFonts w:eastAsia="Times New Roman"/>
        </w:rPr>
      </w:pPr>
    </w:p>
    <w:p w:rsidR="00FF17A2" w:rsidRDefault="00FF17A2" w:rsidP="00FF17A2">
      <w:pPr>
        <w:rPr>
          <w:rFonts w:eastAsia="Times New Roman"/>
        </w:rPr>
      </w:pPr>
      <w:r>
        <w:rPr>
          <w:rFonts w:eastAsia="Times New Roman"/>
          <w:b/>
          <w:bCs/>
        </w:rPr>
        <w:t>§6) Czy zakupywane przez Gminę środki do dezynfekcji posiadają pozwolenie na wprowadzenie do obrotu (..) standardowe czy tymczasowe ?</w:t>
      </w:r>
    </w:p>
    <w:p w:rsidR="00FF17A2" w:rsidRDefault="00FF17A2" w:rsidP="00FF17A2">
      <w:pPr>
        <w:rPr>
          <w:rFonts w:eastAsia="Times New Roman"/>
        </w:rPr>
      </w:pPr>
      <w:r>
        <w:rPr>
          <w:rFonts w:eastAsia="Times New Roman"/>
          <w:b/>
          <w:bCs/>
        </w:rPr>
        <w:t>Pytając o ten aspekt - wnioskodawca ma na myśli stan w którym z uwagi na wystąpienie w Polsce stanu zagrożenia dla zdrowia publicznego - Prezes Urzędu Rejestracji Produktów Leczniczych Wyrobów Medycznych i Produktów Biobójczych  w ramach odstępstwa od standardowych, czasochłonnych procedur, związanych z rejestracją produktów biobójczych, wprowadził możliwość uzyskania pozwolenia tymczasowego na wprowadzanie do obrotu środków do dezynfekcji na okres 180 dni, z możliwością przedłużenia ich ważności na okres nieprzekraczający 550 dni. Takie uprawnienie Prezesa URPL wynika z art. 55 ust. 1 Rozporządzenia o produktach biobójczych. </w:t>
      </w:r>
    </w:p>
    <w:p w:rsidR="00FF17A2" w:rsidRDefault="00FF17A2" w:rsidP="00FF17A2">
      <w:pPr>
        <w:rPr>
          <w:rFonts w:eastAsia="Times New Roman"/>
        </w:rPr>
      </w:pPr>
      <w:r>
        <w:rPr>
          <w:rFonts w:eastAsia="Times New Roman"/>
        </w:rPr>
        <w:lastRenderedPageBreak/>
        <w:t> </w:t>
      </w:r>
    </w:p>
    <w:p w:rsidR="00FF17A2" w:rsidRDefault="00FF17A2" w:rsidP="00FF17A2">
      <w:pPr>
        <w:rPr>
          <w:rFonts w:eastAsia="Times New Roman"/>
        </w:rPr>
      </w:pPr>
      <w:r>
        <w:rPr>
          <w:rFonts w:eastAsia="Times New Roman"/>
        </w:rPr>
        <w:t>W mniemaniu wnioskodawcy rzetelna odpowiedź na powyższe pytania ma skłonić Decydentów do przeprowadzenia rekonesansu w tym obszarze zadań własnych gminy tak aby - w uzasadnionym interesie pro publico bono - ewentualnie wdrożyć procedury sanacyjne w tym obszarze w Gminach. </w:t>
      </w:r>
    </w:p>
    <w:p w:rsidR="00C51BDB" w:rsidRDefault="00C51BDB"/>
    <w:p w:rsidR="006A3E6D" w:rsidRDefault="006A3E6D" w:rsidP="006A3E6D">
      <w:pPr>
        <w:rPr>
          <w:rFonts w:eastAsia="Times New Roman"/>
        </w:rPr>
      </w:pPr>
      <w:r>
        <w:rPr>
          <w:rFonts w:eastAsia="Times New Roman"/>
          <w:b/>
          <w:bCs/>
        </w:rPr>
        <w:t>Osnowa Wniosku: </w:t>
      </w:r>
    </w:p>
    <w:p w:rsidR="006A3E6D" w:rsidRDefault="006A3E6D" w:rsidP="006A3E6D">
      <w:pPr>
        <w:rPr>
          <w:rFonts w:eastAsia="Times New Roman"/>
        </w:rPr>
      </w:pPr>
      <w:r>
        <w:rPr>
          <w:rFonts w:eastAsia="Times New Roman"/>
          <w:b/>
          <w:bCs/>
        </w:rPr>
        <w:t>Ex professo - w uzasadnionym interesie pro publico bono - zobowiązani jesteśmy zasygnalizować - zagrożenia związane z korzystaniem z produktów biobójczych - bazujących na pozwoleniach tymczasowych - wytworzonych często w oparciu o surowce dopuszczone do obrotu ad hoc na bazie art. 55 Rozporządzenia w sprawie produktów biobójczych (BPR, rozporządzenie (UE) nr 528/2012)</w:t>
      </w:r>
    </w:p>
    <w:p w:rsidR="006A3E6D" w:rsidRDefault="006A3E6D" w:rsidP="006A3E6D">
      <w:pPr>
        <w:rPr>
          <w:rFonts w:eastAsia="Times New Roman"/>
        </w:rPr>
      </w:pPr>
    </w:p>
    <w:p w:rsidR="006A3E6D" w:rsidRDefault="006A3E6D" w:rsidP="006A3E6D">
      <w:pPr>
        <w:rPr>
          <w:rFonts w:eastAsia="Times New Roman"/>
        </w:rPr>
      </w:pPr>
      <w:r>
        <w:rPr>
          <w:rFonts w:eastAsia="Times New Roman"/>
          <w:b/>
          <w:bCs/>
        </w:rPr>
        <w:t>Zwrócenie na ten aspekt uwagi Decydentów - staje się szczególnie istotne w przypadku korzystania z płynów dezynfekujących przez Uczniów w szkołach publicznych oraz przez osoby z nadmiernie wrażliwą skórą (szacuje się, że problem ten może dotyczyć  nawet 50 proc. kobiet i 38 proc mężczyzn)  </w:t>
      </w:r>
    </w:p>
    <w:p w:rsidR="006A3E6D" w:rsidRDefault="006A3E6D" w:rsidP="006A3E6D">
      <w:pPr>
        <w:rPr>
          <w:rFonts w:eastAsia="Times New Roman"/>
        </w:rPr>
      </w:pPr>
    </w:p>
    <w:p w:rsidR="006A3E6D" w:rsidRDefault="006A3E6D" w:rsidP="006A3E6D">
      <w:pPr>
        <w:rPr>
          <w:rFonts w:eastAsia="Times New Roman"/>
        </w:rPr>
      </w:pPr>
      <w:r>
        <w:rPr>
          <w:rFonts w:eastAsia="Times New Roman"/>
        </w:rPr>
        <w:t xml:space="preserve">Pozwalamy sobie zauważyć, że pozwolenie tymczasowe bazuje na dopuszczeniu dostawców spoza listy Wykaz Produktów Biobójczych część I. Są to często firmy przypadkowe, nie specjalizujące się do tej pory w produkcji preparatów do dezynfekcji. Pozwolenie tymczasowe bazuje na słabo jakościowym alkoholu, od niesprawdzonych dostawców alkoholu - na co zezwala </w:t>
      </w:r>
      <w:r>
        <w:rPr>
          <w:rFonts w:eastAsia="Times New Roman"/>
          <w:b/>
          <w:bCs/>
        </w:rPr>
        <w:t>- w sytuacjach kryzysowych - wyżej wzmiankowane Rozporządzenie. </w:t>
      </w:r>
    </w:p>
    <w:p w:rsidR="006A3E6D" w:rsidRDefault="006A3E6D" w:rsidP="006A3E6D">
      <w:pPr>
        <w:rPr>
          <w:rFonts w:eastAsia="Times New Roman"/>
        </w:rPr>
      </w:pPr>
      <w:r>
        <w:rPr>
          <w:rFonts w:eastAsia="Times New Roman"/>
        </w:rPr>
        <w:t>To może narażać użytkowników (w tym dzieci w szkołach, przedszkolach, pensjonariuszy DPS) na używanie produktów z niesprawdzonych źródeł surowca. W dłuższej perspektywie nieprofesjonalnie wytworzone produkty do rąk mogą wywołać alergię na skórze i inne niepożądane skutki, czego konsekwencje są wszystkim wiadome.</w:t>
      </w:r>
    </w:p>
    <w:p w:rsidR="006A3E6D" w:rsidRDefault="006A3E6D" w:rsidP="006A3E6D">
      <w:pPr>
        <w:rPr>
          <w:rFonts w:eastAsia="Times New Roman"/>
        </w:rPr>
      </w:pPr>
    </w:p>
    <w:p w:rsidR="006A3E6D" w:rsidRDefault="006A3E6D" w:rsidP="006A3E6D">
      <w:pPr>
        <w:rPr>
          <w:rFonts w:eastAsia="Times New Roman"/>
        </w:rPr>
      </w:pPr>
      <w:r>
        <w:rPr>
          <w:rFonts w:eastAsia="Times New Roman"/>
        </w:rPr>
        <w:t>Norma EN 1500 to norma, która potwierdza skuteczność dezynfekcji higienicznej na rękach ochotników, w specjalnie opracowanej technice, dla danej dozy i czasu. Tego badania nie mają produkty z tymczasowymi pozwoleniami. Notabene dezynfekcja chirurgiczna deklarowana w niektórych produktach też nie ma udokumentowanych wyników badań wg normy EN 12791, a opiera się wyłącznie na literaturze.</w:t>
      </w:r>
    </w:p>
    <w:p w:rsidR="006A3E6D" w:rsidRDefault="006A3E6D" w:rsidP="006A3E6D">
      <w:pPr>
        <w:rPr>
          <w:rFonts w:eastAsia="Times New Roman"/>
        </w:rPr>
      </w:pPr>
    </w:p>
    <w:p w:rsidR="006A3E6D" w:rsidRDefault="006A3E6D" w:rsidP="006A3E6D">
      <w:pPr>
        <w:rPr>
          <w:rFonts w:eastAsia="Times New Roman"/>
        </w:rPr>
      </w:pPr>
      <w:r>
        <w:rPr>
          <w:rFonts w:eastAsia="Times New Roman"/>
        </w:rPr>
        <w:t>Pozwolenia tymczasowe wydawane przez Urząd Rejestracji Produktów Leczniczych, Wyrobów Medycznych i Produktów Biobójczych były wydawane  “na szybko” i były  uzasadnione w momencie braku dostępności dezynfekcji na rynku. Obecnie nie ma problemu z dostępem do profesjonalnych preparatów i takie Urząd w naszym mniemaniu powinien wybierać.</w:t>
      </w:r>
    </w:p>
    <w:p w:rsidR="006A3E6D" w:rsidRDefault="006A3E6D" w:rsidP="006A3E6D">
      <w:pPr>
        <w:rPr>
          <w:rFonts w:eastAsia="Times New Roman"/>
        </w:rPr>
      </w:pPr>
    </w:p>
    <w:p w:rsidR="006A3E6D" w:rsidRDefault="006A3E6D" w:rsidP="006A3E6D">
      <w:pPr>
        <w:rPr>
          <w:rFonts w:eastAsia="Times New Roman"/>
        </w:rPr>
      </w:pPr>
      <w:r>
        <w:rPr>
          <w:rFonts w:eastAsia="Times New Roman"/>
        </w:rPr>
        <w:t>Skuteczność bójcza takich produktów z pozwoleniem tymczasowym - potwierdzona jest wyłącznie na podstawie powołania się na wiedzę literaturową dla alkoholu 60%, tymczasem na rynku funkcjonują preparaty z przebadanym w akredytowanych laboratoriach spektrum działania, w tym działania wirusobójczego na inne wirusy trudniejsze do inaktywacji (adeno, rota, noro). </w:t>
      </w:r>
    </w:p>
    <w:p w:rsidR="006A3E6D" w:rsidRDefault="006A3E6D" w:rsidP="006A3E6D">
      <w:pPr>
        <w:rPr>
          <w:rFonts w:eastAsia="Times New Roman"/>
        </w:rPr>
      </w:pPr>
      <w:r>
        <w:rPr>
          <w:rFonts w:eastAsia="Times New Roman"/>
        </w:rPr>
        <w:t>Zatem wykonany przez Urzędników powtórny rekonesans -  w tym obszarze (już nie ad hoc - w warunkach spokojniejszych niż miało miejsce 4 miesiące temu) wydaje się szczególnie istotny - choćby z punktu widzenia zachowania zasad uczciwej konkurencji przy wydatkowaniu środków publicznych, etc </w:t>
      </w:r>
    </w:p>
    <w:p w:rsidR="006A3E6D" w:rsidRDefault="006A3E6D" w:rsidP="006A3E6D">
      <w:pPr>
        <w:rPr>
          <w:rFonts w:eastAsia="Times New Roman"/>
        </w:rPr>
      </w:pPr>
    </w:p>
    <w:p w:rsidR="006A3E6D" w:rsidRDefault="006A3E6D" w:rsidP="006A3E6D">
      <w:pPr>
        <w:rPr>
          <w:rFonts w:eastAsia="Times New Roman"/>
        </w:rPr>
      </w:pPr>
      <w:r>
        <w:rPr>
          <w:rFonts w:eastAsia="Times New Roman"/>
        </w:rPr>
        <w:t>Chcąc uzasadnić poniżej zawartą petycję - nadmieniamy ponadto, że środek do dezynfekcji powinien zawierać opis co do czasu działania oraz dozy, bo tylko wskazany sposób użycia pozwala osiągnąć pożądane spectrum bójcze – produkty z tymczasowymi pozwoleniami (ponieważ bazują na literaturze) nie podają dokładnie czasu i ilości jaką należy zadozować na dłonie w celu skutecznej dezynfekcji. </w:t>
      </w:r>
    </w:p>
    <w:p w:rsidR="006A3E6D" w:rsidRDefault="006A3E6D" w:rsidP="006A3E6D">
      <w:pPr>
        <w:rPr>
          <w:rFonts w:eastAsia="Times New Roman"/>
        </w:rPr>
      </w:pPr>
      <w:r>
        <w:rPr>
          <w:rFonts w:eastAsia="Times New Roman"/>
        </w:rPr>
        <w:t>Profesjonalni dostawcy - uczciwie konkurujący na rynku - podają takie informacje w oparciu o dokładne badania, dzięki czemu użytkownik ma pewność że produkt faktycznie niszczy mikroorganizmy chorobotwórcze.</w:t>
      </w:r>
    </w:p>
    <w:p w:rsidR="006A3E6D" w:rsidRDefault="006A3E6D" w:rsidP="006A3E6D">
      <w:pPr>
        <w:rPr>
          <w:rFonts w:eastAsia="Times New Roman"/>
        </w:rPr>
      </w:pPr>
      <w:r>
        <w:rPr>
          <w:rFonts w:eastAsia="Times New Roman"/>
        </w:rPr>
        <w:t>Profesjonalni dostawcy - specjalizujący się w tym obszarze od lat kierują się bezpieczeństwem używania: badaniami  dermatologicznymi, bezpieczeństwem stosowania na różnego rodzaju  tworzywach (badania tolerancji materiałowej, etc), czystością wytworzenia. U takich dostawców kontrole jakości odbywają się w oparciu o certyfikowany system jakości, opakowania są kontrolowane, czyste wewnątrz. Podmioty działające profesjonalnie w oparciu o zasady uczciwej konkurencji mają wdrożony system zarządzania jakością - ISO, etc </w:t>
      </w:r>
    </w:p>
    <w:p w:rsidR="006A3E6D" w:rsidRDefault="006A3E6D" w:rsidP="006A3E6D">
      <w:pPr>
        <w:rPr>
          <w:rFonts w:eastAsia="Times New Roman"/>
        </w:rPr>
      </w:pPr>
    </w:p>
    <w:p w:rsidR="006A3E6D" w:rsidRDefault="006A3E6D" w:rsidP="006A3E6D">
      <w:pPr>
        <w:rPr>
          <w:rFonts w:eastAsia="Times New Roman"/>
        </w:rPr>
      </w:pPr>
      <w:r>
        <w:rPr>
          <w:rFonts w:eastAsia="Times New Roman"/>
        </w:rPr>
        <w:t>Produkty dostawców zajmujących się permanentnie rzeczonym obszarem usług - posiadają kartę charakterystyki, informacje o środkach pierwszej pomocy, profesjonalnie skonstruowane treści etykiet. Siłą rzeczy pozwolenia tymczasowe musiały być wydawane często bez dokładnej weryfikacji treści etykiet, zatem produkty dopuszczone w trybie tymczasowym często zawierają niepełne informacje o niebezpieczeństwie użytkowania wysokoalkoholowych produktów, brakuje wskazań do pierwszej pomocy, brak deklarowanego czasu działania i dozy, jaką należy zastosować. </w:t>
      </w:r>
    </w:p>
    <w:p w:rsidR="006A3E6D" w:rsidRDefault="006A3E6D" w:rsidP="006A3E6D">
      <w:pPr>
        <w:rPr>
          <w:rFonts w:eastAsia="Times New Roman"/>
        </w:rPr>
      </w:pPr>
    </w:p>
    <w:p w:rsidR="006A3E6D" w:rsidRDefault="006A3E6D" w:rsidP="006A3E6D">
      <w:pPr>
        <w:rPr>
          <w:rFonts w:eastAsia="Times New Roman"/>
        </w:rPr>
      </w:pPr>
      <w:r>
        <w:rPr>
          <w:rFonts w:eastAsia="Times New Roman"/>
        </w:rPr>
        <w:t>Oczywiście w przepisach prawa nie ma expressis verbis zaznaczonego zakazu stosowania pozwoleń tymczasowych - jednak trudno odmówić racjonalności powyższej argumentacji  i nie zgodzić się z tym że przedmiotowe pozwolenie powinno obejmować okres dłuższy - scilicet -  1 rok, etc  </w:t>
      </w:r>
    </w:p>
    <w:p w:rsidR="006A3E6D" w:rsidRDefault="006A3E6D" w:rsidP="006A3E6D">
      <w:pPr>
        <w:rPr>
          <w:rFonts w:eastAsia="Times New Roman"/>
        </w:rPr>
      </w:pPr>
      <w:r>
        <w:rPr>
          <w:rFonts w:eastAsia="Times New Roman"/>
        </w:rPr>
        <w:t>W niniejszym piśmie powołujemy kilka ważnych norm - jednak nie sposób nie wspomnieć i nie odwołać się również do normy dotyczącej działania wirusobójczego chemicznych środków dezynfekcyjnych i antyseptycznych EN 14476. </w:t>
      </w:r>
    </w:p>
    <w:p w:rsidR="006A3E6D" w:rsidRDefault="006A3E6D" w:rsidP="006A3E6D">
      <w:pPr>
        <w:rPr>
          <w:rFonts w:eastAsia="Times New Roman"/>
        </w:rPr>
      </w:pPr>
      <w:r>
        <w:rPr>
          <w:rFonts w:eastAsia="Times New Roman"/>
        </w:rPr>
        <w:t> </w:t>
      </w:r>
    </w:p>
    <w:p w:rsidR="006A3E6D" w:rsidRDefault="006A3E6D" w:rsidP="006A3E6D">
      <w:pPr>
        <w:rPr>
          <w:rFonts w:eastAsia="Times New Roman"/>
        </w:rPr>
      </w:pPr>
      <w:r>
        <w:rPr>
          <w:rFonts w:eastAsia="Times New Roman"/>
        </w:rPr>
        <w:t>Odrębną kwestią jest stosowanie tzw. preparatów dual use – notabene -  wyroby medyczne muszą być dezynfekowane preparatem zarejestrowanym jako wyrób medyczny. </w:t>
      </w:r>
    </w:p>
    <w:p w:rsidR="006A3E6D" w:rsidRDefault="006A3E6D" w:rsidP="006A3E6D">
      <w:pPr>
        <w:rPr>
          <w:rFonts w:eastAsia="Times New Roman"/>
        </w:rPr>
      </w:pPr>
      <w:r>
        <w:rPr>
          <w:rFonts w:eastAsia="Times New Roman"/>
        </w:rPr>
        <w:t>W gabinetach profilaktyki zdrowotnej i pomocy przedlekarskiej w szkołach publicznych nie zawsze jest to stosowane w empirii - a oczywiście jakikolwiek sprzęt medyczny - wg. przepisów -  powinien być dezynfekowany środkami zarejestrowanymi jako wyroby medyczne. </w:t>
      </w:r>
    </w:p>
    <w:p w:rsidR="006A3E6D" w:rsidRDefault="006A3E6D" w:rsidP="006A3E6D">
      <w:pPr>
        <w:rPr>
          <w:rFonts w:eastAsia="Times New Roman"/>
        </w:rPr>
      </w:pPr>
    </w:p>
    <w:p w:rsidR="006A3E6D" w:rsidRDefault="006A3E6D" w:rsidP="006A3E6D">
      <w:pPr>
        <w:rPr>
          <w:rFonts w:eastAsia="Times New Roman"/>
        </w:rPr>
      </w:pPr>
      <w:r>
        <w:rPr>
          <w:rFonts w:eastAsia="Times New Roman"/>
        </w:rPr>
        <w:t>Zgodnie z Rozporządzeniem Parlamentu Europejskiego i Rady (UE) nr 528/2012 z 22 maja 2012 r. w sprawie udostępniania na rynku i stosowania produktów biobójczych (Dz. U. UE. L 167 z 27.06.2012, str. 1 z późn. zm.) zwanego dalej rozporządzeniem nr 528/2012 oraz zgodnie z Komunikatem Prezesa URPLWMIPB z dnia 11 września 2014 r. a także zgodnie z ustawą o wyrobach medycznych z dnia 20.05.2010 r. (Dz. U. 2010 r. Nr 107 poz. 679 z późniejszymi zmianami) preparaty przeznaczone do mycia i dezynfekcji wyposażenia pomieszczeń w obszarze medycznym, sprzętu medycznego i powierzchni dużych muszą być zarejestrowane jako wyrób medyczny oraz produkt biobójczy (rejestracja podwójna – „dual use”). Produkt zarejestrowany jako wyrób medyczny i jednocześnie produkt biobójczy pozwala na uniwersalne zastosowanie do wszelkich powierzchni bez konieczności stosowania dwóch oddzielnych produktów do dezynfekcji powierzchni.</w:t>
      </w:r>
    </w:p>
    <w:p w:rsidR="006A3E6D" w:rsidRDefault="006A3E6D" w:rsidP="006A3E6D">
      <w:pPr>
        <w:rPr>
          <w:rFonts w:eastAsia="Times New Roman"/>
        </w:rPr>
      </w:pPr>
    </w:p>
    <w:p w:rsidR="006A3E6D" w:rsidRDefault="006A3E6D" w:rsidP="006A3E6D">
      <w:pPr>
        <w:rPr>
          <w:rFonts w:eastAsia="Times New Roman"/>
        </w:rPr>
      </w:pPr>
    </w:p>
    <w:p w:rsidR="006A3E6D" w:rsidRDefault="006A3E6D" w:rsidP="006A3E6D">
      <w:pPr>
        <w:rPr>
          <w:rFonts w:eastAsia="Times New Roman"/>
        </w:rPr>
      </w:pPr>
      <w:r>
        <w:rPr>
          <w:rFonts w:eastAsia="Times New Roman"/>
        </w:rPr>
        <w:t>Zapach niedestylowanego alkoholu w produktach na tymczasowych pozwoleniach wynika z zakupu taniego surowca. Produkty profesjonalne bazują na certyfikowanych dostawcach, gdzie alkohol jest najwyższej jakości. Zapach przekłada się bezpośrednio na chęć stosowania dezynfekcji, a to w konsekwencji wpływa na bezpieczeństwo całej placówki</w:t>
      </w:r>
    </w:p>
    <w:p w:rsidR="006A3E6D" w:rsidRDefault="006A3E6D" w:rsidP="006A3E6D">
      <w:pPr>
        <w:rPr>
          <w:rFonts w:eastAsia="Times New Roman"/>
        </w:rPr>
      </w:pPr>
      <w:r>
        <w:rPr>
          <w:rFonts w:eastAsia="Times New Roman"/>
        </w:rPr>
        <w:t>Produkty niebezpieczne (a do takich zalicza się wysokoalkoholowe preparaty do rąk i powierzchni) wymagają szkolenia dla użytkownika profesjonalnego. Szkolenia z bezpieczeństwa  użytkowania produktu powinny odbywać się w każdej placówce w oparciu o prawidłowo skonstruowaną kartę charakterystyki - należy pamiętać, że w przypadku produktów tego typu - scilicet: niebezpiecznych -  im wyższe stężenie alkoholu tym bardziej niebezpieczne.</w:t>
      </w:r>
    </w:p>
    <w:p w:rsidR="006A3E6D" w:rsidRDefault="006A3E6D" w:rsidP="006A3E6D">
      <w:pPr>
        <w:rPr>
          <w:rFonts w:eastAsia="Times New Roman"/>
        </w:rPr>
      </w:pPr>
    </w:p>
    <w:p w:rsidR="006A3E6D" w:rsidRDefault="006A3E6D" w:rsidP="006A3E6D">
      <w:pPr>
        <w:rPr>
          <w:rFonts w:eastAsia="Times New Roman"/>
        </w:rPr>
      </w:pPr>
      <w:r>
        <w:rPr>
          <w:rFonts w:eastAsia="Times New Roman"/>
          <w:b/>
          <w:bCs/>
        </w:rPr>
        <w:t>W szkołach publicznych często nieznana jest rownież tematyka dezynfekcji dużych powierzchni - a Stosujący (zamawiający)  nie posiada świadomości, że duże powierzchnie powinny być dezynfekowane preparatami na bazie innych substancji czynnych, niż alkoholu. Alkohol nie może być rozpryskiwany na dużych powierzchniach ze względu na opary szkodliwe dla układu oddechowego. Alkohol służy do dezynfekcji małych powierzchni, a preparaty na bazie czwartorzędowych soli amonowych – do dużych powierzchni. Preparaty na QAV rozpuszcone w wodzie jako roztwór są skuteczne wobec wirusa SARS a jednocześnie bezpieczne dla dzieci i osób starszych</w:t>
      </w:r>
    </w:p>
    <w:p w:rsidR="006A3E6D" w:rsidRDefault="006A3E6D" w:rsidP="006A3E6D">
      <w:pPr>
        <w:rPr>
          <w:rFonts w:eastAsia="Times New Roman"/>
        </w:rPr>
      </w:pPr>
    </w:p>
    <w:p w:rsidR="006A3E6D" w:rsidRDefault="006A3E6D" w:rsidP="006A3E6D">
      <w:pPr>
        <w:rPr>
          <w:rFonts w:eastAsia="Times New Roman"/>
        </w:rPr>
      </w:pPr>
    </w:p>
    <w:p w:rsidR="006A3E6D" w:rsidRDefault="006A3E6D" w:rsidP="006A3E6D">
      <w:pPr>
        <w:rPr>
          <w:rFonts w:eastAsia="Times New Roman"/>
        </w:rPr>
      </w:pPr>
      <w:r>
        <w:rPr>
          <w:rFonts w:eastAsia="Times New Roman"/>
        </w:rPr>
        <w:t>To tylko wybrane zagadnienia związane z problematyką dezynfekcji, a permanentna dezynfekcja stała się od kilku miesięcy nieodłącznym elementem naszego życia i towarzyszy wszystkim jego aspektom, zatem  urzędy publiczne powinny dawać przykład i być wzorcem - właściwego ich stosowania.  </w:t>
      </w:r>
    </w:p>
    <w:p w:rsidR="006A3E6D" w:rsidRDefault="006A3E6D" w:rsidP="006A3E6D">
      <w:pPr>
        <w:rPr>
          <w:rFonts w:eastAsia="Times New Roman"/>
        </w:rPr>
      </w:pPr>
    </w:p>
    <w:p w:rsidR="006A3E6D" w:rsidRDefault="006A3E6D" w:rsidP="006A3E6D">
      <w:pPr>
        <w:rPr>
          <w:rFonts w:eastAsia="Times New Roman"/>
        </w:rPr>
      </w:pPr>
      <w:r>
        <w:rPr>
          <w:rFonts w:eastAsia="Times New Roman"/>
          <w:b/>
          <w:bCs/>
        </w:rPr>
        <w:t>Jak wynika z przeprowadzonego przez nas rekonesansu - w administracji szczebla rządowego - sytuacja w tym obszarze stale ulega poprawie i widać rosnący profesjonalizm w działaniu Decydentów - realizujących procedury zamówień publicznych. </w:t>
      </w:r>
    </w:p>
    <w:p w:rsidR="006A3E6D" w:rsidRDefault="006A3E6D" w:rsidP="006A3E6D">
      <w:pPr>
        <w:rPr>
          <w:rFonts w:eastAsia="Times New Roman"/>
        </w:rPr>
      </w:pPr>
      <w:r>
        <w:rPr>
          <w:rFonts w:eastAsia="Times New Roman"/>
          <w:b/>
          <w:bCs/>
        </w:rPr>
        <w:t>Natomiast w gminach i Jednostkach Organizacyjnych Gmin jest jeszcze - w naszym mniemaniu - dużo do zrobienia w tym obszarze.  </w:t>
      </w:r>
    </w:p>
    <w:p w:rsidR="006A3E6D" w:rsidRDefault="006A3E6D" w:rsidP="006A3E6D">
      <w:pPr>
        <w:rPr>
          <w:rFonts w:eastAsia="Times New Roman"/>
        </w:rPr>
      </w:pPr>
    </w:p>
    <w:p w:rsidR="006A3E6D" w:rsidRDefault="006A3E6D" w:rsidP="006A3E6D">
      <w:pPr>
        <w:rPr>
          <w:rFonts w:eastAsia="Times New Roman"/>
        </w:rPr>
      </w:pPr>
      <w:r>
        <w:rPr>
          <w:rFonts w:eastAsia="Times New Roman"/>
          <w:b/>
          <w:bCs/>
        </w:rPr>
        <w:t>Pomimo, że nie wnioskujemy o informację przetworzoną w zakresie wymagającym znacznych nakładów pracy, uzasadniamy nasze pytania  stosownie do brzmienia art. 3 ust. 1 pkt. 1 Ustawy o dostępie do informacji publicznej  – tym, że przedmiotowa informacja oraz ewentualna późniejsza  próba optymalizacji tego obszaru wydaje się szczególnie istotna z punktu widzenia uzasadnionego Interesu Społecznego, o czym świadczy szereg doniesień medialnych. </w:t>
      </w:r>
    </w:p>
    <w:p w:rsidR="006A3E6D" w:rsidRDefault="006A3E6D" w:rsidP="006A3E6D">
      <w:pPr>
        <w:rPr>
          <w:rFonts w:eastAsia="Times New Roman"/>
        </w:rPr>
      </w:pPr>
      <w:r>
        <w:rPr>
          <w:rFonts w:eastAsia="Times New Roman"/>
        </w:rPr>
        <w:t xml:space="preserve">To jak ważne jest stosowanie odpowiednich zabezpieczających procedur, pojemników, atestów, weryfikacji  - świadczą liczne doniesienia prasowe - vide </w:t>
      </w:r>
      <w:hyperlink r:id="rId4" w:history="1">
        <w:r>
          <w:rPr>
            <w:rStyle w:val="Hipercze"/>
            <w:rFonts w:eastAsia="Times New Roman"/>
          </w:rPr>
          <w:t>https://polskiobserwator.de/aktualnosci/klienci-marketu-poparzeni/</w:t>
        </w:r>
      </w:hyperlink>
      <w:r>
        <w:rPr>
          <w:rFonts w:eastAsia="Times New Roman"/>
        </w:rPr>
        <w:t xml:space="preserve"> (Osoby poparzone płynem dezynfekującym w Ikei) </w:t>
      </w:r>
    </w:p>
    <w:p w:rsidR="006A3E6D" w:rsidRDefault="006A3E6D" w:rsidP="006A3E6D">
      <w:pPr>
        <w:rPr>
          <w:rFonts w:eastAsia="Times New Roman"/>
        </w:rPr>
      </w:pPr>
      <w:r>
        <w:rPr>
          <w:rFonts w:eastAsia="Times New Roman"/>
        </w:rPr>
        <w:t>  </w:t>
      </w:r>
    </w:p>
    <w:p w:rsidR="006A3E6D" w:rsidRDefault="006A3E6D" w:rsidP="006A3E6D">
      <w:pPr>
        <w:rPr>
          <w:rFonts w:eastAsia="Times New Roman"/>
        </w:rPr>
      </w:pPr>
    </w:p>
    <w:p w:rsidR="006A3E6D" w:rsidRDefault="006A3E6D" w:rsidP="006A3E6D">
      <w:pPr>
        <w:rPr>
          <w:rFonts w:eastAsia="Times New Roman"/>
        </w:rPr>
      </w:pPr>
      <w:r>
        <w:rPr>
          <w:rFonts w:eastAsia="Times New Roman"/>
          <w:b/>
          <w:bCs/>
        </w:rPr>
        <w:t>Mamy nadzieję, że Urzędy stosując zasady uczciwej konkurencji oraz racjonalnego wydatkowania środków publicznych -  wdrożą odpowiednie procedury - dzięki którym osiągnięte zostaną kolejne cele określone w powołanych aktach prawnych.</w:t>
      </w:r>
    </w:p>
    <w:p w:rsidR="006A3E6D" w:rsidRDefault="006A3E6D" w:rsidP="006A3E6D">
      <w:pPr>
        <w:rPr>
          <w:rFonts w:eastAsia="Times New Roman"/>
        </w:rPr>
      </w:pPr>
      <w:r>
        <w:rPr>
          <w:rFonts w:eastAsia="Times New Roman"/>
          <w:b/>
          <w:bCs/>
        </w:rPr>
        <w:lastRenderedPageBreak/>
        <w:t>Zdaniem wnioskodawców dbałość o oszczędne, racjonalne i najbardziej efektywne wydatowanie środków publicznych w oparciu o zasady uczciwej konkurencji -   powinna być nadrzędnym warunkiem sine qua non  ewentualnego wydatkowania środków publicznych.</w:t>
      </w:r>
    </w:p>
    <w:p w:rsidR="006A3E6D" w:rsidRDefault="006A3E6D" w:rsidP="006A3E6D">
      <w:pPr>
        <w:rPr>
          <w:rFonts w:eastAsia="Times New Roman"/>
        </w:rPr>
      </w:pPr>
      <w:r>
        <w:rPr>
          <w:rFonts w:eastAsia="Times New Roman"/>
          <w:b/>
          <w:bCs/>
        </w:rPr>
        <w:t>Przykładem w analizowanym obszarze może być stosowanie najwyższych norm - w doborze środków dezynfekujących -w. obecnym czasie, kiedy Urzędy nie muszą już działać ad hoc - pod presją czasu.   </w:t>
      </w:r>
    </w:p>
    <w:p w:rsidR="006A3E6D" w:rsidRDefault="006A3E6D" w:rsidP="006A3E6D">
      <w:pPr>
        <w:rPr>
          <w:rFonts w:eastAsia="Times New Roman"/>
        </w:rPr>
      </w:pPr>
      <w:r>
        <w:rPr>
          <w:rFonts w:eastAsia="Times New Roman"/>
          <w:b/>
          <w:bCs/>
        </w:rPr>
        <w:t>W mniemaniu wnioskodawcy - podejmując ewentualne procedury sanacyjne i optymalizacyjne w gminach, do których choćby w minimalnym stopniu ewentualnie przyczyni się niniejszy wniosek - należy pamiętać, ze celem optymalizacji ma być efektywniejsze i racjonalniejsze wydatkowanie środków publicznych powierzonych Gminom przez Podatników i budżet Państwa oraz lepsze zaspokajanie żywotnych potrzeb mieszkańców Gminy w tym prawa do odpowiedniej jakości, atestowanych  środków dezynfekujących</w:t>
      </w:r>
    </w:p>
    <w:p w:rsidR="006A3E6D" w:rsidRDefault="006A3E6D"/>
    <w:p w:rsidR="00092B3F" w:rsidRDefault="00092B3F" w:rsidP="00092B3F">
      <w:pPr>
        <w:rPr>
          <w:rFonts w:eastAsia="Times New Roman"/>
        </w:rPr>
      </w:pPr>
      <w:bookmarkStart w:id="0" w:name="_GoBack"/>
      <w:r>
        <w:rPr>
          <w:rFonts w:eastAsia="Times New Roman"/>
        </w:rPr>
        <w:t>Wnioskodawca:</w:t>
      </w:r>
    </w:p>
    <w:p w:rsidR="00092B3F" w:rsidRDefault="00092B3F" w:rsidP="00092B3F">
      <w:pPr>
        <w:rPr>
          <w:rFonts w:eastAsia="Times New Roman"/>
        </w:rPr>
      </w:pPr>
      <w:r>
        <w:rPr>
          <w:rFonts w:eastAsia="Times New Roman"/>
        </w:rPr>
        <w:t>Osoba Prawna</w:t>
      </w:r>
    </w:p>
    <w:p w:rsidR="00092B3F" w:rsidRDefault="00092B3F" w:rsidP="00092B3F">
      <w:pPr>
        <w:rPr>
          <w:rFonts w:eastAsia="Times New Roman"/>
        </w:rPr>
      </w:pPr>
      <w:r>
        <w:rPr>
          <w:rFonts w:eastAsia="Times New Roman"/>
        </w:rPr>
        <w:t>Szulc-Efekt sp. z o. o.</w:t>
      </w:r>
    </w:p>
    <w:p w:rsidR="00092B3F" w:rsidRDefault="00092B3F" w:rsidP="00092B3F">
      <w:pPr>
        <w:rPr>
          <w:rFonts w:eastAsia="Times New Roman"/>
        </w:rPr>
      </w:pPr>
      <w:r>
        <w:rPr>
          <w:rFonts w:eastAsia="Times New Roman"/>
        </w:rPr>
        <w:t>Prezes Zarządu - Adam Szulc </w:t>
      </w:r>
    </w:p>
    <w:p w:rsidR="00092B3F" w:rsidRDefault="00092B3F" w:rsidP="00092B3F">
      <w:pPr>
        <w:rPr>
          <w:rFonts w:eastAsia="Times New Roman"/>
        </w:rPr>
      </w:pPr>
      <w:r>
        <w:rPr>
          <w:rFonts w:eastAsia="Times New Roman"/>
        </w:rPr>
        <w:t>ul. Poligonowa 1</w:t>
      </w:r>
    </w:p>
    <w:p w:rsidR="00092B3F" w:rsidRDefault="00092B3F" w:rsidP="00092B3F">
      <w:pPr>
        <w:rPr>
          <w:rFonts w:eastAsia="Times New Roman"/>
        </w:rPr>
      </w:pPr>
      <w:r>
        <w:rPr>
          <w:rFonts w:eastAsia="Times New Roman"/>
        </w:rPr>
        <w:t>04-051 Warszawa</w:t>
      </w:r>
    </w:p>
    <w:p w:rsidR="00092B3F" w:rsidRDefault="00092B3F" w:rsidP="00092B3F">
      <w:pPr>
        <w:rPr>
          <w:rFonts w:eastAsia="Times New Roman"/>
        </w:rPr>
      </w:pPr>
      <w:r>
        <w:rPr>
          <w:rFonts w:eastAsia="Times New Roman"/>
        </w:rPr>
        <w:t>nr KRS: 0000059459</w:t>
      </w:r>
    </w:p>
    <w:p w:rsidR="00092B3F" w:rsidRDefault="00092B3F" w:rsidP="00092B3F">
      <w:pPr>
        <w:rPr>
          <w:rFonts w:eastAsia="Times New Roman"/>
        </w:rPr>
      </w:pPr>
      <w:r>
        <w:rPr>
          <w:rFonts w:eastAsia="Times New Roman"/>
        </w:rPr>
        <w:t>Kapitał Zakładowy: 222.000,00 pln </w:t>
      </w:r>
    </w:p>
    <w:p w:rsidR="00092B3F" w:rsidRDefault="00092B3F" w:rsidP="00092B3F">
      <w:pPr>
        <w:rPr>
          <w:rFonts w:eastAsia="Times New Roman"/>
        </w:rPr>
      </w:pPr>
      <w:hyperlink r:id="rId5" w:history="1">
        <w:r>
          <w:rPr>
            <w:rStyle w:val="Hipercze"/>
            <w:rFonts w:eastAsia="Times New Roman"/>
          </w:rPr>
          <w:t>www.gmina.pl</w:t>
        </w:r>
      </w:hyperlink>
      <w:r>
        <w:rPr>
          <w:rFonts w:eastAsia="Times New Roman"/>
        </w:rPr>
        <w:t xml:space="preserve">    </w:t>
      </w:r>
      <w:hyperlink r:id="rId6" w:history="1">
        <w:r>
          <w:rPr>
            <w:rStyle w:val="Hipercze"/>
            <w:rFonts w:eastAsia="Times New Roman"/>
          </w:rPr>
          <w:t>www.samorzad.pl</w:t>
        </w:r>
      </w:hyperlink>
      <w:r>
        <w:rPr>
          <w:rFonts w:eastAsia="Times New Roman"/>
        </w:rPr>
        <w:t> </w:t>
      </w:r>
    </w:p>
    <w:bookmarkEnd w:id="0"/>
    <w:p w:rsidR="00092B3F" w:rsidRDefault="00092B3F" w:rsidP="00092B3F">
      <w:pPr>
        <w:rPr>
          <w:rFonts w:eastAsia="Times New Roman"/>
        </w:rPr>
      </w:pPr>
    </w:p>
    <w:p w:rsidR="00092B3F" w:rsidRDefault="00092B3F" w:rsidP="00092B3F">
      <w:pPr>
        <w:rPr>
          <w:rFonts w:eastAsia="Times New Roman"/>
        </w:rPr>
      </w:pPr>
    </w:p>
    <w:p w:rsidR="00092B3F" w:rsidRDefault="00092B3F" w:rsidP="00092B3F">
      <w:pPr>
        <w:rPr>
          <w:rFonts w:eastAsia="Times New Roman"/>
        </w:rPr>
      </w:pPr>
    </w:p>
    <w:p w:rsidR="00092B3F" w:rsidRDefault="00092B3F" w:rsidP="00092B3F">
      <w:pPr>
        <w:rPr>
          <w:rFonts w:eastAsia="Times New Roman"/>
        </w:rPr>
      </w:pPr>
      <w:r>
        <w:rPr>
          <w:rFonts w:eastAsia="Times New Roman"/>
        </w:rPr>
        <w:t>Dodatkowe informacje:</w:t>
      </w:r>
    </w:p>
    <w:p w:rsidR="00092B3F" w:rsidRDefault="00092B3F" w:rsidP="00092B3F">
      <w:pPr>
        <w:rPr>
          <w:rFonts w:eastAsia="Times New Roman"/>
        </w:rPr>
      </w:pPr>
      <w:r>
        <w:rPr>
          <w:rFonts w:eastAsia="Times New Roman"/>
        </w:rPr>
        <w:t>Stosownie do art. 4 ust. 2 pkt. 1 Ustawy o petycjach (Dz.U.2018.870 t.j. z dnia 2018.05.10) -  osobą reprezentująca Podmiot wnoszący petycję - jest Prezes Zarządu Adam Szulc</w:t>
      </w:r>
    </w:p>
    <w:p w:rsidR="00092B3F" w:rsidRDefault="00092B3F" w:rsidP="00092B3F">
      <w:pPr>
        <w:rPr>
          <w:rFonts w:eastAsia="Times New Roman"/>
        </w:rPr>
      </w:pPr>
      <w:r>
        <w:rPr>
          <w:rFonts w:eastAsia="Times New Roman"/>
        </w:rPr>
        <w:t xml:space="preserve">Stosownie do art. 4 ust. 2 pkt. 5 ww. Ustawy - petycja niniejsza została złożona za pomocą środków komunikacji elektronicznej - a wskazanym zwrotnym adresem poczty elektronicznej jest: </w:t>
      </w:r>
      <w:hyperlink r:id="rId7" w:history="1">
        <w:r>
          <w:rPr>
            <w:rStyle w:val="Hipercze"/>
            <w:rFonts w:eastAsia="Times New Roman"/>
          </w:rPr>
          <w:t>dezynfekacja@samorzad.pl</w:t>
        </w:r>
      </w:hyperlink>
    </w:p>
    <w:p w:rsidR="00092B3F" w:rsidRDefault="00092B3F" w:rsidP="00092B3F">
      <w:pPr>
        <w:rPr>
          <w:rFonts w:eastAsia="Times New Roman"/>
        </w:rPr>
      </w:pPr>
      <w:r>
        <w:rPr>
          <w:rFonts w:eastAsia="Times New Roman"/>
        </w:rPr>
        <w:t>Adresatem Petycji - jest Organ ujawniony w komparycji - jednoznacznie identyfikowalny  za pomocą uzyskanego z Biuletynu Informacji Publicznej Urzędu - adresu e-mail !</w:t>
      </w:r>
    </w:p>
    <w:p w:rsidR="00092B3F" w:rsidRDefault="00092B3F" w:rsidP="00092B3F">
      <w:pPr>
        <w:rPr>
          <w:rFonts w:eastAsia="Times New Roman"/>
        </w:rPr>
      </w:pPr>
    </w:p>
    <w:p w:rsidR="00092B3F" w:rsidRDefault="00092B3F" w:rsidP="00092B3F">
      <w:pPr>
        <w:rPr>
          <w:rFonts w:eastAsia="Times New Roman"/>
        </w:rPr>
      </w:pPr>
    </w:p>
    <w:p w:rsidR="00092B3F" w:rsidRDefault="00092B3F" w:rsidP="00092B3F">
      <w:pPr>
        <w:rPr>
          <w:rFonts w:eastAsia="Times New Roman"/>
        </w:rPr>
      </w:pPr>
      <w:r>
        <w:rPr>
          <w:rFonts w:eastAsia="Times New Roman"/>
        </w:rPr>
        <w:t>Komentarz do Wniosku: </w:t>
      </w:r>
    </w:p>
    <w:p w:rsidR="00092B3F" w:rsidRDefault="00092B3F" w:rsidP="00092B3F">
      <w:pPr>
        <w:rPr>
          <w:rFonts w:eastAsia="Times New Roman"/>
        </w:rPr>
      </w:pPr>
      <w:r>
        <w:rPr>
          <w:rFonts w:eastAsia="Times New Roman"/>
        </w:rPr>
        <w:t>Adresat jest jednoznacznie identyfikowany - na podstawie - unikalnego adresu e-mail opublikowanego w Biuletynie Informacji Publicznej Jednostki i przypisanego do odnośnego Organu.</w:t>
      </w:r>
    </w:p>
    <w:p w:rsidR="00092B3F" w:rsidRDefault="00092B3F" w:rsidP="00092B3F">
      <w:pPr>
        <w:rPr>
          <w:rFonts w:eastAsia="Times New Roman"/>
        </w:rPr>
      </w:pPr>
      <w:r>
        <w:rPr>
          <w:rFonts w:eastAsia="Times New Roman"/>
        </w:rPr>
        <w:t>Rzeczony adres e-mail - zgodnie z dyspozycją art. 1 i 8 ustawy o dostępie do informacji publicznej - stanowiąc informację pewną i potwierdzoną - jednoznacznie oznacza adresata petycji/wniosku. (Oznaczenie adresata petycji/wniosku) </w:t>
      </w:r>
    </w:p>
    <w:p w:rsidR="00092B3F" w:rsidRDefault="00092B3F" w:rsidP="00092B3F">
      <w:pPr>
        <w:rPr>
          <w:rFonts w:eastAsia="Times New Roman"/>
        </w:rPr>
      </w:pPr>
      <w:r>
        <w:rPr>
          <w:rFonts w:eastAsia="Times New Roman"/>
        </w:rPr>
        <w:t>Pomimo, iż w rzeczonym wniosku powołujemy się na art. 241 Ustawy z dnia 14 czerwca 1960 r. Kodeks postępowania administracyjnego (Dz.U.2016.23 t.j. z dnia 2016.01.07) -  w naszym mniemaniu - nie oznacza to, że Urząd powinien rozpatrywać niniejsze wnioski w trybie KPA  </w:t>
      </w:r>
    </w:p>
    <w:p w:rsidR="00092B3F" w:rsidRDefault="00092B3F" w:rsidP="00092B3F">
      <w:pPr>
        <w:rPr>
          <w:rFonts w:eastAsia="Times New Roman"/>
        </w:rPr>
      </w:pPr>
      <w:r>
        <w:rPr>
          <w:rFonts w:eastAsia="Times New Roman"/>
        </w:rPr>
        <w:t xml:space="preserve">W opinii Wnioskodawcy Urząd powinien w zależności od dokonanej interpretacji treści pisma  - procedować nasze wnioski  -  w trybie Ustawy o petycjach (Dz.U.2014.1195 z dnia </w:t>
      </w:r>
      <w:r>
        <w:rPr>
          <w:rFonts w:eastAsia="Times New Roman"/>
        </w:rPr>
        <w:lastRenderedPageBreak/>
        <w:t>2014.09.05)  lub odpowiednio Ustawy o dostępie do informacji publicznej (wynika to zazwyczaj z jego treści i powołanych podstaw prawnych). </w:t>
      </w:r>
    </w:p>
    <w:p w:rsidR="00092B3F" w:rsidRDefault="00092B3F" w:rsidP="00092B3F">
      <w:pPr>
        <w:rPr>
          <w:rFonts w:eastAsia="Times New Roman"/>
        </w:rPr>
      </w:pPr>
      <w:r>
        <w:rPr>
          <w:rFonts w:eastAsia="Times New Roman"/>
        </w:rPr>
        <w:t>Zatem - wg. Wnioskodawcy niniejszy wniosek może być jedynie fakultatywnie rozpatrywany - jako optymalizacyjny w związku z art. 241 KPA. </w:t>
      </w:r>
    </w:p>
    <w:p w:rsidR="00092B3F" w:rsidRDefault="00092B3F" w:rsidP="00092B3F">
      <w:pPr>
        <w:rPr>
          <w:rFonts w:eastAsia="Times New Roman"/>
        </w:rPr>
      </w:pPr>
      <w:r>
        <w:rPr>
          <w:rFonts w:eastAsia="Times New Roman"/>
        </w:rPr>
        <w:t>W naszych wnioskach/petycjach  często powołujemy sie na  wzmiankowany art. 241 KPA - scilicet: "Przedmiotem wniosku mogą być w szczególności sprawy ulepszenia organizacji, wzmocnienia praworządności, usprawnienia pracy i zapobiegania nadużyciom, ochrony własności, lepszego zaspokajania potrzeb ludności.” - w sensie możliwości otwarcia procedury sanacyjnej. </w:t>
      </w:r>
    </w:p>
    <w:p w:rsidR="00092B3F" w:rsidRDefault="00092B3F" w:rsidP="00092B3F">
      <w:pPr>
        <w:rPr>
          <w:rFonts w:eastAsia="Times New Roman"/>
        </w:rPr>
      </w:pPr>
      <w:r>
        <w:rPr>
          <w:rFonts w:eastAsia="Times New Roman"/>
        </w:rPr>
        <w:t>Każdy Podmiot mający styczność z Urzędem - ma prawo i obowiązek - usprawniać struktury administracji samorządowej. </w:t>
      </w:r>
    </w:p>
    <w:p w:rsidR="00092B3F" w:rsidRDefault="00092B3F" w:rsidP="00092B3F">
      <w:pPr>
        <w:rPr>
          <w:rFonts w:eastAsia="Times New Roman"/>
        </w:rPr>
      </w:pPr>
      <w:r>
        <w:rPr>
          <w:rFonts w:eastAsia="Times New Roman"/>
        </w:rPr>
        <w:t>Zatem pomimo formy zewnętrznej - Decydenci mogą/powinni dokonać własnej interpretacji  - zgodnie z brzmieniem art. 222 KPA. </w:t>
      </w:r>
    </w:p>
    <w:p w:rsidR="00092B3F" w:rsidRDefault="00092B3F" w:rsidP="00092B3F">
      <w:pPr>
        <w:rPr>
          <w:rFonts w:eastAsia="Times New Roman"/>
        </w:rPr>
      </w:pPr>
    </w:p>
    <w:p w:rsidR="00092B3F" w:rsidRDefault="00092B3F" w:rsidP="00092B3F">
      <w:pPr>
        <w:rPr>
          <w:rFonts w:eastAsia="Times New Roman"/>
        </w:rPr>
      </w:pPr>
      <w:r>
        <w:rPr>
          <w:rFonts w:eastAsia="Times New Roman"/>
        </w:rPr>
        <w:t>Nazwa Wnioskodawca - jest dla uproszczenia stosowna jako synonim nazwy “Podmiot Wnoszący Petycję” - w rozumieniu art. 4 ust. 4 Ustawy o petycjach (Dz.U.2014.1195 z dnia 2014.09.05) </w:t>
      </w:r>
    </w:p>
    <w:p w:rsidR="00092B3F" w:rsidRDefault="00092B3F" w:rsidP="00092B3F">
      <w:pPr>
        <w:rPr>
          <w:rFonts w:eastAsia="Times New Roman"/>
        </w:rPr>
      </w:pPr>
    </w:p>
    <w:p w:rsidR="00092B3F" w:rsidRDefault="00092B3F" w:rsidP="00092B3F">
      <w:pPr>
        <w:rPr>
          <w:rFonts w:eastAsia="Times New Roman"/>
        </w:rPr>
      </w:pPr>
      <w:r>
        <w:rPr>
          <w:rFonts w:eastAsia="Times New Roman"/>
        </w:rPr>
        <w:t>Pozwalamy sobie również przypomnieć, że  ipso iure art. 2 ust. 2 Ustawy o dostępie do informacji publicznej “ (…) Od osoby wykonującej prawo do informacji publicznej nie wolno żądać wykazania interesu prawnego lub faktycznego.</w:t>
      </w:r>
    </w:p>
    <w:p w:rsidR="00092B3F" w:rsidRDefault="00092B3F" w:rsidP="00092B3F">
      <w:pPr>
        <w:rPr>
          <w:rFonts w:eastAsia="Times New Roman"/>
        </w:rPr>
      </w:pPr>
    </w:p>
    <w:p w:rsidR="00092B3F" w:rsidRDefault="00092B3F" w:rsidP="00092B3F">
      <w:pPr>
        <w:rPr>
          <w:rFonts w:eastAsia="Times New Roman"/>
        </w:rPr>
      </w:pPr>
      <w:r>
        <w:rPr>
          <w:rFonts w:eastAsia="Times New Roman"/>
        </w:rPr>
        <w:t>Wnioskodawca   - pro forma podpisał - niniejszy wniosek -  bezpiecznym kwalifikowanym podpisem elektronicznym  (w załączeniu stosowne pliki) - choć według aktualnego orzecznictwa brak podpisu elektronicznego nie powoduje bezprzedmiotowości wniosku, stosownie do orzeczenia: Naczelnego Sądu Administracyjnego w Warszawie I OSK 1277/08.  Podkreślamy jednocześnie, iż przedmiotowy wniosek traktujemy jako próbę usprawnienia organizacji działania Jednostek Administracji Publicznej  - w celu lepszego zaspokajania potrzeb ludności. Do wniosku dołączono plik podpisany bezpiecznym kwalifikowanym podpisem elektronicznym, zawiera on taką samą treść, jak ta która znajduje się w niniejszej wiadomości e-mail.  Weryfikacja podpisu i odczytanie pliku wymaga posiadania oprogramowania, które bez ponoszenia opłat, można uzyskać na stronach WWW podmiotów - zgodnie z ustawą, świadczących usługi certyfikacyjne. </w:t>
      </w:r>
    </w:p>
    <w:p w:rsidR="00092B3F" w:rsidRDefault="00092B3F" w:rsidP="00092B3F">
      <w:pPr>
        <w:rPr>
          <w:rFonts w:eastAsia="Times New Roman"/>
        </w:rPr>
      </w:pPr>
    </w:p>
    <w:p w:rsidR="00092B3F" w:rsidRDefault="00092B3F" w:rsidP="00092B3F">
      <w:pPr>
        <w:rPr>
          <w:rFonts w:eastAsia="Times New Roman"/>
        </w:rPr>
      </w:pPr>
      <w:r>
        <w:rPr>
          <w:rFonts w:eastAsia="Times New Roman"/>
        </w:rPr>
        <w:t>Celem naszych wniosków jest - sensu largo - usprawnienie, naprawa - na miarę istniejących możliwości - funkcjonowania struktur Administracji Publicznej - głownie w Gminach/Miastach  - gdzie jak wynika z naszych wniosków - stan faktyczny wymaga wszczęcia procedur sanacyjnych. </w:t>
      </w:r>
    </w:p>
    <w:p w:rsidR="00092B3F" w:rsidRDefault="00092B3F" w:rsidP="00092B3F">
      <w:pPr>
        <w:rPr>
          <w:rFonts w:eastAsia="Times New Roman"/>
        </w:rPr>
      </w:pPr>
    </w:p>
    <w:p w:rsidR="00092B3F" w:rsidRDefault="00092B3F" w:rsidP="00092B3F">
      <w:pPr>
        <w:rPr>
          <w:rFonts w:eastAsia="Times New Roman"/>
        </w:rPr>
      </w:pPr>
      <w:r>
        <w:rPr>
          <w:rFonts w:eastAsia="Times New Roman"/>
          <w:b/>
          <w:bCs/>
        </w:rPr>
        <w:t>W Jednostkach Pionu Administracji Rządowej - stan faktyczny jest o wiele lepszy.  </w:t>
      </w:r>
    </w:p>
    <w:p w:rsidR="00092B3F" w:rsidRDefault="00092B3F" w:rsidP="00092B3F">
      <w:pPr>
        <w:rPr>
          <w:rFonts w:eastAsia="Times New Roman"/>
        </w:rPr>
      </w:pPr>
    </w:p>
    <w:p w:rsidR="00092B3F" w:rsidRDefault="00092B3F" w:rsidP="00092B3F">
      <w:pPr>
        <w:rPr>
          <w:rFonts w:eastAsia="Times New Roman"/>
        </w:rPr>
      </w:pPr>
      <w:r>
        <w:rPr>
          <w:rFonts w:eastAsia="Times New Roman"/>
        </w:rPr>
        <w:t>Zwracamy uwagę, że Ustawodawca do tego stopnia stara się - poszerzyć spektrum możliwości porównywania cen i wyboru różnych opcji rynkowych oraz przeciwdziałać korupcji w Administracji Publicznej - że nakazał w §6 ust. 2 pkt. 2 załącznika nr 1 do Rozporządzenia Prezesa Rady Ministrów z dnia 18 stycznia 2011 r. w sprawie instrukcji kancelaryjnej, (…) (Dz. U. z dnia 20 stycznia 2011 r.) -  archiwizowanie, również wszystkich niezamówionych ofert, a co dopiero petycji i wniosków optymalizacyjnych. Cieszy nas ten fakt niemiernie, przyczyni się z pewnością do większej rozwagi w wydatkowaniu środków publicznych. </w:t>
      </w:r>
    </w:p>
    <w:p w:rsidR="00092B3F" w:rsidRDefault="00092B3F" w:rsidP="00092B3F">
      <w:pPr>
        <w:rPr>
          <w:rFonts w:eastAsia="Times New Roman"/>
        </w:rPr>
      </w:pPr>
      <w:r>
        <w:rPr>
          <w:rFonts w:eastAsia="Times New Roman"/>
        </w:rPr>
        <w:lastRenderedPageBreak/>
        <w:t>Duża ilość powoływanych przepisów prawa w przedmiotowym wniosku, wiąże się z tym, że chcemy uniknąć wyjaśniania intencji i podstaw prawnych w rozmowach telefonicznych - co rzadko, ale jednak, ciągle ma miejsce w przypadku nielicznych JST.</w:t>
      </w:r>
    </w:p>
    <w:p w:rsidR="00092B3F" w:rsidRDefault="00092B3F" w:rsidP="00092B3F">
      <w:pPr>
        <w:rPr>
          <w:rFonts w:eastAsia="Times New Roman"/>
        </w:rPr>
      </w:pPr>
      <w:r>
        <w:rPr>
          <w:rFonts w:eastAsia="Times New Roman"/>
        </w:rPr>
        <w:t>Jeżeli JST nie zgada się z powołanymi przepisami prawa, prosimy aby zastosowano podstawy prawne akceptowane przez JST.</w:t>
      </w:r>
    </w:p>
    <w:p w:rsidR="00092B3F" w:rsidRDefault="00092B3F" w:rsidP="00092B3F">
      <w:pPr>
        <w:rPr>
          <w:rFonts w:eastAsia="Times New Roman"/>
        </w:rPr>
      </w:pPr>
      <w:r>
        <w:rPr>
          <w:rFonts w:eastAsia="Times New Roman"/>
        </w:rPr>
        <w:t>Dobro Petenta i jawność życia publicznego jest naszym nadrzędnym celem, dlatego staramy się również upowszechniać zapisy Ustawowe dotyczące Wnioskowania. Kwestie te Ustawodawca podkreślił i uregulował w art. 63 Konstytucji RP: "Każdy ma prawo składać petycje, wnioski i skargi w interesie publicznym, własnym lub innej osoby za jej zgodą do organów władzy publicznej oraz do organizacji i instytucji społecznych w związku z wykonywanymi przez nie zadaniami zleconymi z zakresu administracji publicznej." oraz w art. 54 ust. 1 Konstytucji RP "Każdemu zapewnia się wolność wyrażania swoich poglądów oraz pozyskiwania i rozpowszechniania informacji."</w:t>
      </w:r>
    </w:p>
    <w:p w:rsidR="00092B3F" w:rsidRDefault="00092B3F" w:rsidP="00092B3F">
      <w:pPr>
        <w:rPr>
          <w:rFonts w:eastAsia="Times New Roman"/>
        </w:rPr>
      </w:pPr>
    </w:p>
    <w:p w:rsidR="00092B3F" w:rsidRDefault="00092B3F" w:rsidP="00092B3F">
      <w:pPr>
        <w:rPr>
          <w:rFonts w:eastAsia="Times New Roman"/>
        </w:rPr>
      </w:pPr>
      <w:r>
        <w:rPr>
          <w:rFonts w:eastAsia="Times New Roman"/>
        </w:rPr>
        <w:t xml:space="preserve">Pamiętajmy również o przepisach zawartych inter alia: w art. 225 KPA: </w:t>
      </w:r>
      <w:r>
        <w:rPr>
          <w:rFonts w:eastAsia="Times New Roman"/>
          <w:b/>
          <w:bCs/>
        </w:rPr>
        <w:t>"§ 1. Nikt nie może być narażony na jakikolwiek uszczerbek lub zarzut z powodu złożenia skargi lub wniosku albo z powodu dostarczenia materiału do publikacji o znamionach skargi lub wniosku, jeżeli działał w granicach prawem dozwolonych.</w:t>
      </w:r>
      <w:r>
        <w:rPr>
          <w:rFonts w:eastAsia="Times New Roman"/>
        </w:rPr>
        <w:t xml:space="preserve"> § 2. Organy państwowe, organy jednostek samorządu terytorialnego i inne organy samorządowe oraz organy organizacji społecznych są obowiązane przeciwdziałać hamowaniu krytyki i innym działaniom ograniczającym prawo do składania skarg i wniosków lub dostarczania informacji - do publikacji - o znamionach skargi lub wniosku."</w:t>
      </w:r>
    </w:p>
    <w:p w:rsidR="00092B3F" w:rsidRDefault="00092B3F" w:rsidP="00092B3F">
      <w:pPr>
        <w:rPr>
          <w:rFonts w:eastAsia="Times New Roman"/>
        </w:rPr>
      </w:pPr>
      <w:r>
        <w:rPr>
          <w:rFonts w:eastAsia="Times New Roman"/>
        </w:rPr>
        <w:t>Eksperci NIK piszą: "Niewielka liczba składanych wniosków o udzielenie informacji publicznej, liczba skarg złożonych do WSA, jak również liczba pozwów złożonych do sądów rejonowych, świadczyć może o braku zainteresowania w egzekwowaniu powszechnego prawa do informacji publicznej. Z drugiej strony, realizację tego prawa utrudniają podmioty zobowiązane do pełnej przejrzystości swojego działania, poprzez nieudostępnianie wymaganej informacji publicznej" [Protokół pokontrolny dostępny w sieci Internet: LBY-4101-09/2010]. Mamy nadzieję, zmienić powyższą ocenę, być może nasz wniosek choć w niewielkim stopniu – przyczyni się do zwiększenia tych wskaźników.</w:t>
      </w:r>
    </w:p>
    <w:p w:rsidR="00092B3F" w:rsidRDefault="00092B3F"/>
    <w:sectPr w:rsidR="00092B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83F"/>
    <w:rsid w:val="00092B3F"/>
    <w:rsid w:val="006A3E6D"/>
    <w:rsid w:val="0076183F"/>
    <w:rsid w:val="00C51BDB"/>
    <w:rsid w:val="00FF17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572DD0-ABA7-4059-99D9-1B18D9132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F17A2"/>
    <w:pPr>
      <w:spacing w:after="0" w:line="240" w:lineRule="auto"/>
    </w:pPr>
    <w:rPr>
      <w:rFonts w:ascii="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6A3E6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26220">
      <w:bodyDiv w:val="1"/>
      <w:marLeft w:val="0"/>
      <w:marRight w:val="0"/>
      <w:marTop w:val="0"/>
      <w:marBottom w:val="0"/>
      <w:divBdr>
        <w:top w:val="none" w:sz="0" w:space="0" w:color="auto"/>
        <w:left w:val="none" w:sz="0" w:space="0" w:color="auto"/>
        <w:bottom w:val="none" w:sz="0" w:space="0" w:color="auto"/>
        <w:right w:val="none" w:sz="0" w:space="0" w:color="auto"/>
      </w:divBdr>
    </w:div>
    <w:div w:id="328027769">
      <w:bodyDiv w:val="1"/>
      <w:marLeft w:val="0"/>
      <w:marRight w:val="0"/>
      <w:marTop w:val="0"/>
      <w:marBottom w:val="0"/>
      <w:divBdr>
        <w:top w:val="none" w:sz="0" w:space="0" w:color="auto"/>
        <w:left w:val="none" w:sz="0" w:space="0" w:color="auto"/>
        <w:bottom w:val="none" w:sz="0" w:space="0" w:color="auto"/>
        <w:right w:val="none" w:sz="0" w:space="0" w:color="auto"/>
      </w:divBdr>
    </w:div>
    <w:div w:id="54946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ezynfekacja@samorzad.p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amorzad.pl/" TargetMode="External"/><Relationship Id="rId5" Type="http://schemas.openxmlformats.org/officeDocument/2006/relationships/hyperlink" Target="http://www.gmina.pl/" TargetMode="External"/><Relationship Id="rId4" Type="http://schemas.openxmlformats.org/officeDocument/2006/relationships/hyperlink" Target="https://polskiobserwator.de/aktualnosci/klienci-marketu-poparzeni/" TargetMode="Externa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2999</Words>
  <Characters>17999</Characters>
  <Application>Microsoft Office Word</Application>
  <DocSecurity>0</DocSecurity>
  <Lines>149</Lines>
  <Paragraphs>41</Paragraphs>
  <ScaleCrop>false</ScaleCrop>
  <Company/>
  <LinksUpToDate>false</LinksUpToDate>
  <CharactersWithSpaces>20957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Malowaniec-Jeziorska</dc:creator>
  <cp:keywords/>
  <dc:description/>
  <cp:lastModifiedBy>Agnieszka Malowaniec-Jeziorska</cp:lastModifiedBy>
  <cp:revision>7</cp:revision>
  <dcterms:created xsi:type="dcterms:W3CDTF">2020-09-03T06:35:00Z</dcterms:created>
  <dcterms:modified xsi:type="dcterms:W3CDTF">2020-09-03T06:39:00Z</dcterms:modified>
</cp:coreProperties>
</file>